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  <w:lang w:val="en-US" w:eastAsia="zh-CN"/>
        </w:rPr>
        <w:t>金融服务与管理</w:t>
      </w:r>
      <w:r>
        <w:rPr>
          <w:rFonts w:hint="eastAsia" w:ascii="黑体" w:eastAsia="黑体"/>
          <w:b/>
          <w:sz w:val="32"/>
          <w:szCs w:val="32"/>
        </w:rPr>
        <w:t>专业</w:t>
      </w:r>
    </w:p>
    <w:p>
      <w:pPr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20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23</w:t>
      </w:r>
      <w:r>
        <w:rPr>
          <w:rFonts w:hint="eastAsia" w:ascii="黑体" w:eastAsia="黑体"/>
          <w:b/>
          <w:sz w:val="32"/>
          <w:szCs w:val="32"/>
        </w:rPr>
        <w:t>年单招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职业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技能测试大纲</w:t>
      </w:r>
    </w:p>
    <w:p>
      <w:pPr>
        <w:ind w:firstLine="643" w:firstLineChars="200"/>
        <w:rPr>
          <w:rFonts w:hint="eastAsia"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一、适用对象</w:t>
      </w:r>
    </w:p>
    <w:p>
      <w:pPr>
        <w:pStyle w:val="11"/>
        <w:spacing w:line="660" w:lineRule="exact"/>
        <w:ind w:firstLine="566" w:firstLineChars="177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本考试大纲适用于20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年海南经贸职业技术学院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金融服务与管理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专业对口单独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职业技能测试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ind w:firstLine="643" w:firstLineChars="200"/>
        <w:rPr>
          <w:rFonts w:hint="default" w:ascii="楷体_GB2312" w:eastAsia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>二、考试总体内容和要求</w:t>
      </w:r>
    </w:p>
    <w:p>
      <w:pPr>
        <w:widowControl/>
        <w:snapToGrid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根据《20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年海南省高等职业院校对口单独考试招生实施办法》，“文化素质”笔试统一由省考试局组织安排，“职业技能测试”由招生学校命题实施，本大纲为20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年海南经贸职业技术学院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金融服务与管理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专业对口单独考试招生“职业技能测试”考试大纲。“职业技能测试”成绩满分合计为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napToGrid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能力测试共100分，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主要考核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金融基础知识、财经类基本政策与法规、等相关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理论知识，采取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笔试考试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的方式；</w:t>
      </w:r>
    </w:p>
    <w:p>
      <w:pPr>
        <w:widowControl/>
        <w:snapToGrid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技术技能测试共100分，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主要考查考生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银行储蓄、支付结算、柜面业务操作流程；现金挑残、假币识别；设计家庭投资理财计划；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向客户介绍并推荐保险产品，为客户提供合理的投保建议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等专业技能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采取笔试考试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的方式。</w:t>
      </w:r>
    </w:p>
    <w:p>
      <w:pPr>
        <w:ind w:left="568"/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楷体_GB2312" w:eastAsia="楷体_GB2312"/>
          <w:b/>
          <w:bCs/>
          <w:sz w:val="32"/>
          <w:szCs w:val="32"/>
        </w:rPr>
        <w:t>、考试</w:t>
      </w: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>具体</w:t>
      </w:r>
      <w:r>
        <w:rPr>
          <w:rFonts w:hint="eastAsia" w:ascii="楷体_GB2312" w:eastAsia="楷体_GB2312"/>
          <w:b/>
          <w:bCs/>
          <w:sz w:val="32"/>
          <w:szCs w:val="32"/>
        </w:rPr>
        <w:t>要求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一）专业能力测试</w:t>
      </w:r>
    </w:p>
    <w:p>
      <w:pPr>
        <w:numPr>
          <w:ilvl w:val="0"/>
          <w:numId w:val="0"/>
        </w:num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本考试包括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部分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内容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模块一：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金融职业道德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银行职业道德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保险职业道德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证券职业道德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模块二：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中国人民银行法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中国人民银行法概述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货币政策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金融监督管理与法律责任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模块三：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 保险法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保险法概述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保险合同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保险公司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保险中介机构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保险监督及法律责任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模块四：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 证券法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证券法概述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证券发行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证券交易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证券机构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证券法律责任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模块五：货币与货币制度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1.货币的本质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2.货币的基本职能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3.货币制度的类型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模块六：信用与信用工具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1.信用的基本形式及其特点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2.利息的定义与本质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3.单利、复利的计算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模块七：商业银行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1.商业银行的主要业务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2.商业银行经营原则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3. </w:t>
      </w:r>
      <w:r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商业银行的信用创造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模块八：金融市场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 货币市场与资本市场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2.金融市场的功能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模块九：货币供求和通货膨胀</w:t>
      </w:r>
    </w:p>
    <w:p>
      <w:pPr>
        <w:spacing w:line="660" w:lineRule="exact"/>
        <w:ind w:firstLine="640" w:firstLineChars="200"/>
        <w:rPr>
          <w:rFonts w:hint="default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1.货币需求和货币供给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2.货币需求和货币供给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（二）技术技能测试（笔试）</w:t>
      </w:r>
    </w:p>
    <w:p>
      <w:pPr>
        <w:spacing w:line="6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本考试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主要考查考生掌握所报专业的实际操作能力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和个人基本素质。</w:t>
      </w:r>
    </w:p>
    <w:p>
      <w:pPr>
        <w:numPr>
          <w:ilvl w:val="0"/>
          <w:numId w:val="0"/>
        </w:numPr>
        <w:spacing w:line="660" w:lineRule="exact"/>
        <w:ind w:leftChars="0"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1.现金挑残、假币识别</w:t>
      </w:r>
    </w:p>
    <w:p>
      <w:pPr>
        <w:numPr>
          <w:ilvl w:val="0"/>
          <w:numId w:val="0"/>
        </w:numPr>
        <w:spacing w:line="660" w:lineRule="exact"/>
        <w:ind w:leftChars="0" w:firstLine="640" w:firstLineChars="200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2.商业银行规模业务操作流程</w:t>
      </w:r>
    </w:p>
    <w:p>
      <w:pPr>
        <w:numPr>
          <w:ilvl w:val="0"/>
          <w:numId w:val="0"/>
        </w:numPr>
        <w:spacing w:line="660" w:lineRule="exact"/>
        <w:ind w:leftChars="0" w:firstLine="640" w:firstLineChars="200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3.大堂客户接待、大堂引导营销、大堂服务信息反馈与汇总</w:t>
      </w:r>
    </w:p>
    <w:p>
      <w:pPr>
        <w:numPr>
          <w:ilvl w:val="0"/>
          <w:numId w:val="0"/>
        </w:numPr>
        <w:spacing w:line="660" w:lineRule="exact"/>
        <w:ind w:leftChars="0" w:firstLine="640" w:firstLineChars="200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4.证券交易的程序、交易规则、</w:t>
      </w:r>
    </w:p>
    <w:p>
      <w:pPr>
        <w:numPr>
          <w:ilvl w:val="0"/>
          <w:numId w:val="0"/>
        </w:numPr>
        <w:spacing w:line="660" w:lineRule="exact"/>
        <w:ind w:leftChars="0" w:firstLine="640" w:firstLineChars="200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5.股票、债券、证券投资基金、可转换债券及权证等投资价值分析</w:t>
      </w:r>
    </w:p>
    <w:p>
      <w:pPr>
        <w:numPr>
          <w:ilvl w:val="0"/>
          <w:numId w:val="0"/>
        </w:numPr>
        <w:spacing w:line="660" w:lineRule="exact"/>
        <w:ind w:leftChars="0" w:firstLine="640" w:firstLineChars="200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6.家庭理财规划制定</w:t>
      </w:r>
    </w:p>
    <w:p>
      <w:pPr>
        <w:numPr>
          <w:ilvl w:val="0"/>
          <w:numId w:val="0"/>
        </w:numPr>
        <w:spacing w:line="660" w:lineRule="exact"/>
        <w:ind w:leftChars="0" w:firstLine="640" w:firstLineChars="200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7.介绍并推荐保险产品，为客户提供合理的投保建议</w:t>
      </w:r>
    </w:p>
    <w:p>
      <w:pPr>
        <w:numPr>
          <w:ilvl w:val="0"/>
          <w:numId w:val="0"/>
        </w:numPr>
        <w:spacing w:line="660" w:lineRule="exact"/>
        <w:ind w:leftChars="0" w:firstLine="640" w:firstLineChars="200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8.如何树立正确理财观念</w:t>
      </w:r>
    </w:p>
    <w:p>
      <w:pPr>
        <w:numPr>
          <w:ilvl w:val="0"/>
          <w:numId w:val="0"/>
        </w:numPr>
        <w:spacing w:line="660" w:lineRule="exact"/>
        <w:ind w:leftChars="0" w:firstLine="640" w:firstLineChars="200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9.对职业与职业素养的理解</w:t>
      </w:r>
    </w:p>
    <w:p>
      <w:pPr>
        <w:ind w:left="568"/>
        <w:rPr>
          <w:rFonts w:hint="eastAsia"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楷体_GB2312" w:eastAsia="楷体_GB2312"/>
          <w:b/>
          <w:bCs/>
          <w:sz w:val="32"/>
          <w:szCs w:val="32"/>
        </w:rPr>
        <w:t>参考书目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Times New Roman" w:eastAsia="仿宋_GB2312" w:cs="Times New Roman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《金融法规与职业道德》，沈立君，中国财政经济出版社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; 第1版 (2015年7月1日)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2.《金融认知》，郑鹏，高等教育出版社; 第1版 (2020年9月)</w:t>
      </w:r>
    </w:p>
    <w:p>
      <w:pPr>
        <w:spacing w:line="6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3.《金融营销实务》，章敏，高等教育出版社，2019年11月29日</w:t>
      </w:r>
    </w:p>
    <w:p>
      <w:pPr>
        <w:rPr>
          <w:rFonts w:hint="eastAsia" w:ascii="楷体_GB2312" w:eastAsia="楷体_GB2312"/>
          <w:b/>
          <w:bCs/>
          <w:sz w:val="32"/>
          <w:szCs w:val="32"/>
        </w:rPr>
      </w:pPr>
    </w:p>
    <w:p>
      <w:pPr>
        <w:rPr>
          <w:rFonts w:hint="eastAsia" w:ascii="楷体_GB2312" w:eastAsia="楷体_GB2312"/>
          <w:b/>
          <w:bCs/>
          <w:sz w:val="32"/>
          <w:szCs w:val="32"/>
        </w:rPr>
      </w:pPr>
    </w:p>
    <w:p>
      <w:pP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b/>
          <w:bCs/>
          <w:sz w:val="32"/>
          <w:szCs w:val="32"/>
        </w:rPr>
        <w:t>执笔人：</w:t>
      </w: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>陈希西</w:t>
      </w:r>
      <w:r>
        <w:rPr>
          <w:rFonts w:hint="eastAsia" w:ascii="楷体_GB2312" w:eastAsia="楷体_GB2312"/>
          <w:b/>
          <w:bCs/>
          <w:sz w:val="32"/>
          <w:szCs w:val="32"/>
        </w:rPr>
        <w:t xml:space="preserve">         审核人：          二级学院(盖章)</w:t>
      </w:r>
    </w:p>
    <w:sectPr>
      <w:footerReference r:id="rId3" w:type="default"/>
      <w:pgSz w:w="11906" w:h="16838"/>
      <w:pgMar w:top="1814" w:right="1418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78461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yYmI1NzljZTdlODdjZjJmNDhhYTVhNmFhMjFkY2EifQ=="/>
  </w:docVars>
  <w:rsids>
    <w:rsidRoot w:val="007D5566"/>
    <w:rsid w:val="00026AA9"/>
    <w:rsid w:val="000539A8"/>
    <w:rsid w:val="000A4F72"/>
    <w:rsid w:val="000A7A07"/>
    <w:rsid w:val="000C25E8"/>
    <w:rsid w:val="000D07B8"/>
    <w:rsid w:val="000F53E4"/>
    <w:rsid w:val="0010039B"/>
    <w:rsid w:val="001041AC"/>
    <w:rsid w:val="00127BEF"/>
    <w:rsid w:val="001368FC"/>
    <w:rsid w:val="001401F2"/>
    <w:rsid w:val="00184946"/>
    <w:rsid w:val="001A385B"/>
    <w:rsid w:val="001E76D2"/>
    <w:rsid w:val="00206E36"/>
    <w:rsid w:val="002111E6"/>
    <w:rsid w:val="00213754"/>
    <w:rsid w:val="002674A3"/>
    <w:rsid w:val="0028497D"/>
    <w:rsid w:val="002B4563"/>
    <w:rsid w:val="002D1524"/>
    <w:rsid w:val="002E6731"/>
    <w:rsid w:val="002F1ED2"/>
    <w:rsid w:val="0031401A"/>
    <w:rsid w:val="00347C38"/>
    <w:rsid w:val="003A5D71"/>
    <w:rsid w:val="003C0898"/>
    <w:rsid w:val="003D793D"/>
    <w:rsid w:val="003F2A9E"/>
    <w:rsid w:val="003F6BBA"/>
    <w:rsid w:val="0044236C"/>
    <w:rsid w:val="004451AC"/>
    <w:rsid w:val="004679D0"/>
    <w:rsid w:val="00490DD8"/>
    <w:rsid w:val="004A4C7E"/>
    <w:rsid w:val="004F4AB6"/>
    <w:rsid w:val="00500141"/>
    <w:rsid w:val="0051105F"/>
    <w:rsid w:val="005A7E6F"/>
    <w:rsid w:val="005B493A"/>
    <w:rsid w:val="005D4009"/>
    <w:rsid w:val="005E3665"/>
    <w:rsid w:val="00600693"/>
    <w:rsid w:val="00601226"/>
    <w:rsid w:val="006072B8"/>
    <w:rsid w:val="00626F0B"/>
    <w:rsid w:val="006426AA"/>
    <w:rsid w:val="00663FD0"/>
    <w:rsid w:val="00684285"/>
    <w:rsid w:val="006B633A"/>
    <w:rsid w:val="00705E08"/>
    <w:rsid w:val="00710FF5"/>
    <w:rsid w:val="00757135"/>
    <w:rsid w:val="0076112F"/>
    <w:rsid w:val="007A54C7"/>
    <w:rsid w:val="007C17F9"/>
    <w:rsid w:val="007D5566"/>
    <w:rsid w:val="007F239B"/>
    <w:rsid w:val="00821256"/>
    <w:rsid w:val="00821A45"/>
    <w:rsid w:val="00831DE8"/>
    <w:rsid w:val="008333B2"/>
    <w:rsid w:val="008360F4"/>
    <w:rsid w:val="008D67B3"/>
    <w:rsid w:val="008E6F00"/>
    <w:rsid w:val="00905A23"/>
    <w:rsid w:val="00944195"/>
    <w:rsid w:val="00971D06"/>
    <w:rsid w:val="00973370"/>
    <w:rsid w:val="009E6064"/>
    <w:rsid w:val="00A04BFC"/>
    <w:rsid w:val="00A271B8"/>
    <w:rsid w:val="00A35A03"/>
    <w:rsid w:val="00A420AE"/>
    <w:rsid w:val="00A43E5E"/>
    <w:rsid w:val="00A50174"/>
    <w:rsid w:val="00A53769"/>
    <w:rsid w:val="00A5474B"/>
    <w:rsid w:val="00A65C94"/>
    <w:rsid w:val="00AE1690"/>
    <w:rsid w:val="00B01AF0"/>
    <w:rsid w:val="00B028FA"/>
    <w:rsid w:val="00B13A81"/>
    <w:rsid w:val="00B32491"/>
    <w:rsid w:val="00B328BE"/>
    <w:rsid w:val="00B379F2"/>
    <w:rsid w:val="00B42C36"/>
    <w:rsid w:val="00BE08B7"/>
    <w:rsid w:val="00BE3020"/>
    <w:rsid w:val="00C205E2"/>
    <w:rsid w:val="00C44507"/>
    <w:rsid w:val="00C45DD5"/>
    <w:rsid w:val="00C475F7"/>
    <w:rsid w:val="00C62C1C"/>
    <w:rsid w:val="00CE1D59"/>
    <w:rsid w:val="00CE2707"/>
    <w:rsid w:val="00D027F8"/>
    <w:rsid w:val="00D252CD"/>
    <w:rsid w:val="00D76666"/>
    <w:rsid w:val="00D9346F"/>
    <w:rsid w:val="00DD69AC"/>
    <w:rsid w:val="00E00260"/>
    <w:rsid w:val="00E2158F"/>
    <w:rsid w:val="00E25BFF"/>
    <w:rsid w:val="00E34CE1"/>
    <w:rsid w:val="00E7706A"/>
    <w:rsid w:val="00E82574"/>
    <w:rsid w:val="00EE126A"/>
    <w:rsid w:val="00F00F8D"/>
    <w:rsid w:val="00F32D89"/>
    <w:rsid w:val="00F428A3"/>
    <w:rsid w:val="00F51C84"/>
    <w:rsid w:val="00F6757F"/>
    <w:rsid w:val="00F830B4"/>
    <w:rsid w:val="00FA71A3"/>
    <w:rsid w:val="00FB49C7"/>
    <w:rsid w:val="00FB628E"/>
    <w:rsid w:val="00FD55E5"/>
    <w:rsid w:val="00FF4E3A"/>
    <w:rsid w:val="0FC87103"/>
    <w:rsid w:val="12946461"/>
    <w:rsid w:val="226E44E2"/>
    <w:rsid w:val="30C95219"/>
    <w:rsid w:val="36F86725"/>
    <w:rsid w:val="3AA76D8F"/>
    <w:rsid w:val="3C8A586C"/>
    <w:rsid w:val="3E8B7848"/>
    <w:rsid w:val="59AE526C"/>
    <w:rsid w:val="5CB4040D"/>
    <w:rsid w:val="5CCC2688"/>
    <w:rsid w:val="628229EF"/>
    <w:rsid w:val="67103986"/>
    <w:rsid w:val="6D900786"/>
    <w:rsid w:val="6F7E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标题 1 Char"/>
    <w:basedOn w:val="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a-size-large"/>
    <w:basedOn w:val="6"/>
    <w:qFormat/>
    <w:uiPriority w:val="0"/>
  </w:style>
  <w:style w:type="character" w:customStyle="1" w:styleId="13">
    <w:name w:val="author"/>
    <w:basedOn w:val="6"/>
    <w:qFormat/>
    <w:uiPriority w:val="0"/>
  </w:style>
  <w:style w:type="character" w:customStyle="1" w:styleId="14">
    <w:name w:val="a-color-secondary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1006</Words>
  <Characters>1078</Characters>
  <Lines>8</Lines>
  <Paragraphs>2</Paragraphs>
  <TotalTime>10</TotalTime>
  <ScaleCrop>false</ScaleCrop>
  <LinksUpToDate>false</LinksUpToDate>
  <CharactersWithSpaces>1109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2017-03-20T07:47:00Z</dcterms:created>
  <dc:creator>lenovo</dc:creator>
  <cp:lastModifiedBy>LENOVO</cp:lastModifiedBy>
  <cp:lastPrinted>2018-01-10T03:01:00Z</cp:lastPrinted>
  <dcterms:modified xsi:type="dcterms:W3CDTF">2023-04-07T06:50:09Z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1C5F06F71881466997D99233E666A810_13</vt:lpwstr>
  </property>
</Properties>
</file>